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463" w:rsidRPr="00EE6399" w:rsidRDefault="000109E3">
      <w:pPr>
        <w:spacing w:line="167" w:lineRule="exact"/>
        <w:rPr>
          <w:rFonts w:ascii="Times New Roman" w:eastAsia="Times New Roman" w:hAnsi="Times New Roman"/>
          <w:sz w:val="24"/>
        </w:rPr>
      </w:pPr>
      <w:r w:rsidRPr="00EE6399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.1pt;width:0;height:68.5pt;z-index:251661824" o:connectortype="straight"/>
        </w:pict>
      </w:r>
      <w:r w:rsidRPr="00EE6399">
        <w:rPr>
          <w:b/>
          <w:noProof/>
          <w:sz w:val="28"/>
        </w:rPr>
        <w:pict>
          <v:shape id="_x0000_s1042" type="#_x0000_t32" style="position:absolute;margin-left:21pt;margin-top:.1pt;width:451.15pt;height:0;flip:x;z-index:251660800" o:connectortype="straight"/>
        </w:pict>
      </w:r>
      <w:r w:rsidR="00F11ECB"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866775" cy="847725"/>
            <wp:effectExtent l="19050" t="0" r="9525" b="0"/>
            <wp:wrapNone/>
            <wp:docPr id="17" name="Picture 3" descr="Image result for sekolah tinggi ilmu administrasi dan pemerintahan annisa dwi salfar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kolah tinggi ilmu administrasi dan pemerintahan annisa dwi salfariz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463" w:rsidRPr="00EE6399" w:rsidRDefault="006C4463">
      <w:pPr>
        <w:spacing w:line="0" w:lineRule="atLeast"/>
        <w:ind w:left="2640"/>
        <w:jc w:val="center"/>
        <w:rPr>
          <w:b/>
          <w:sz w:val="28"/>
        </w:rPr>
      </w:pPr>
      <w:r w:rsidRPr="00EE6399">
        <w:rPr>
          <w:b/>
          <w:sz w:val="28"/>
        </w:rPr>
        <w:t>SOP KEGIATAN</w:t>
      </w:r>
    </w:p>
    <w:p w:rsidR="006C4463" w:rsidRPr="00EE6399" w:rsidRDefault="006C44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6C4463" w:rsidRPr="00EE6399" w:rsidRDefault="006C4463">
      <w:pPr>
        <w:spacing w:line="219" w:lineRule="auto"/>
        <w:ind w:left="2640" w:firstLine="82"/>
        <w:rPr>
          <w:b/>
          <w:sz w:val="28"/>
        </w:rPr>
      </w:pPr>
      <w:r w:rsidRPr="00EE6399">
        <w:rPr>
          <w:b/>
          <w:sz w:val="28"/>
        </w:rPr>
        <w:t>MONITORING DAN EVALUASI INTERNAL</w:t>
      </w:r>
    </w:p>
    <w:p w:rsidR="006C4463" w:rsidRPr="00EE6399" w:rsidRDefault="006C4463">
      <w:pPr>
        <w:spacing w:line="20" w:lineRule="exact"/>
        <w:rPr>
          <w:rFonts w:ascii="Times New Roman" w:eastAsia="Times New Roman" w:hAnsi="Times New Roman"/>
          <w:sz w:val="24"/>
        </w:rPr>
      </w:pPr>
      <w:r w:rsidRPr="00EE6399">
        <w:rPr>
          <w:b/>
          <w:sz w:val="28"/>
        </w:rPr>
        <w:pict>
          <v:line id="_x0000_s1027" style="position:absolute;z-index:-251668992" from="268.85pt,-59.65pt" to="268.85pt,8.85pt" o:userdrawn="t" strokeweight=".48pt"/>
        </w:pict>
      </w:r>
      <w:r w:rsidRPr="00EE6399">
        <w:rPr>
          <w:b/>
          <w:sz w:val="28"/>
        </w:rPr>
        <w:pict>
          <v:line id="_x0000_s1028" style="position:absolute;z-index:-251667968" from="21pt,8.6pt" to="472.4pt,8.6pt" o:userdrawn="t" strokeweight=".48pt"/>
        </w:pict>
      </w:r>
    </w:p>
    <w:p w:rsidR="006C4463" w:rsidRPr="00EE6399" w:rsidRDefault="006C4463">
      <w:pPr>
        <w:spacing w:line="1" w:lineRule="exact"/>
        <w:rPr>
          <w:rFonts w:ascii="Times New Roman" w:eastAsia="Times New Roman" w:hAnsi="Times New Roman"/>
          <w:sz w:val="1"/>
        </w:rPr>
      </w:pPr>
      <w:r w:rsidRPr="00EE6399">
        <w:rPr>
          <w:rFonts w:ascii="Times New Roman" w:eastAsia="Times New Roman" w:hAnsi="Times New Roman"/>
          <w:sz w:val="24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60"/>
        <w:gridCol w:w="1980"/>
      </w:tblGrid>
      <w:tr w:rsidR="006C4463" w:rsidRPr="00EE6399">
        <w:trPr>
          <w:trHeight w:val="270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sz w:val="22"/>
              </w:rPr>
            </w:pPr>
            <w:proofErr w:type="spellStart"/>
            <w:r w:rsidRPr="00EE6399">
              <w:rPr>
                <w:sz w:val="22"/>
              </w:rPr>
              <w:t>Tanggal</w:t>
            </w:r>
            <w:proofErr w:type="spellEnd"/>
            <w:r w:rsidRPr="00EE6399">
              <w:rPr>
                <w:sz w:val="22"/>
              </w:rPr>
              <w:t xml:space="preserve"> </w:t>
            </w:r>
            <w:proofErr w:type="spellStart"/>
            <w:r w:rsidRPr="00EE6399">
              <w:rPr>
                <w:sz w:val="22"/>
              </w:rPr>
              <w:t>Revisi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jc w:val="right"/>
              <w:rPr>
                <w:sz w:val="22"/>
              </w:rPr>
            </w:pPr>
            <w:r w:rsidRPr="00EE6399">
              <w:rPr>
                <w:sz w:val="22"/>
              </w:rPr>
              <w:t>................................:</w:t>
            </w:r>
          </w:p>
        </w:tc>
      </w:tr>
      <w:tr w:rsidR="006C4463" w:rsidRPr="00EE6399">
        <w:trPr>
          <w:trHeight w:val="269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sz w:val="22"/>
              </w:rPr>
            </w:pPr>
            <w:proofErr w:type="spellStart"/>
            <w:r w:rsidRPr="00EE6399">
              <w:rPr>
                <w:sz w:val="22"/>
              </w:rPr>
              <w:t>Tanggal</w:t>
            </w:r>
            <w:proofErr w:type="spellEnd"/>
            <w:r w:rsidRPr="00EE6399">
              <w:rPr>
                <w:sz w:val="22"/>
              </w:rPr>
              <w:t xml:space="preserve"> </w:t>
            </w:r>
            <w:proofErr w:type="spellStart"/>
            <w:r w:rsidRPr="00EE6399">
              <w:rPr>
                <w:sz w:val="22"/>
              </w:rPr>
              <w:t>Berlaku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jc w:val="right"/>
              <w:rPr>
                <w:sz w:val="22"/>
              </w:rPr>
            </w:pPr>
            <w:r w:rsidRPr="00EE6399">
              <w:rPr>
                <w:sz w:val="22"/>
              </w:rPr>
              <w:t>: ................................</w:t>
            </w:r>
          </w:p>
        </w:tc>
      </w:tr>
      <w:tr w:rsidR="006C4463" w:rsidRPr="00EE6399">
        <w:trPr>
          <w:trHeight w:val="269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sz w:val="22"/>
              </w:rPr>
            </w:pPr>
            <w:proofErr w:type="spellStart"/>
            <w:r w:rsidRPr="00EE6399">
              <w:rPr>
                <w:sz w:val="22"/>
              </w:rPr>
              <w:t>Kode</w:t>
            </w:r>
            <w:proofErr w:type="spellEnd"/>
            <w:r w:rsidRPr="00EE6399">
              <w:rPr>
                <w:sz w:val="22"/>
              </w:rPr>
              <w:t xml:space="preserve"> </w:t>
            </w:r>
            <w:proofErr w:type="spellStart"/>
            <w:r w:rsidRPr="00EE6399">
              <w:rPr>
                <w:sz w:val="22"/>
              </w:rPr>
              <w:t>Dokumen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jc w:val="right"/>
              <w:rPr>
                <w:sz w:val="22"/>
              </w:rPr>
            </w:pPr>
            <w:r w:rsidRPr="00EE6399">
              <w:rPr>
                <w:sz w:val="22"/>
              </w:rPr>
              <w:t>: ................................</w:t>
            </w:r>
          </w:p>
        </w:tc>
      </w:tr>
      <w:tr w:rsidR="006C4463" w:rsidRPr="00EE6399">
        <w:trPr>
          <w:trHeight w:val="563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C4463" w:rsidRPr="00EE6399" w:rsidRDefault="006C4463">
      <w:pPr>
        <w:spacing w:line="20" w:lineRule="exact"/>
        <w:rPr>
          <w:rFonts w:ascii="Times New Roman" w:eastAsia="Times New Roman" w:hAnsi="Times New Roman"/>
          <w:sz w:val="24"/>
        </w:rPr>
      </w:pPr>
      <w:r w:rsidRPr="00EE6399">
        <w:rPr>
          <w:rFonts w:ascii="Times New Roman" w:eastAsia="Times New Roman" w:hAnsi="Times New Roman"/>
          <w:sz w:val="24"/>
        </w:rPr>
        <w:pict>
          <v:line id="_x0000_s1029" style="position:absolute;z-index:-251666944;mso-position-horizontal-relative:text;mso-position-vertical-relative:text" from="198.15pt,-68.5pt" to="198.15pt,0" o:userdrawn="t" strokeweight=".48pt"/>
        </w:pict>
      </w:r>
    </w:p>
    <w:p w:rsidR="006C4463" w:rsidRPr="00EE6399" w:rsidRDefault="006C4463">
      <w:pPr>
        <w:spacing w:line="20" w:lineRule="exact"/>
        <w:rPr>
          <w:rFonts w:ascii="Times New Roman" w:eastAsia="Times New Roman" w:hAnsi="Times New Roman"/>
          <w:sz w:val="24"/>
        </w:rPr>
        <w:sectPr w:rsidR="006C4463" w:rsidRPr="00EE6399">
          <w:pgSz w:w="11900" w:h="16838"/>
          <w:pgMar w:top="707" w:right="1246" w:bottom="159" w:left="1020" w:header="0" w:footer="0" w:gutter="0"/>
          <w:cols w:num="2" w:space="0" w:equalWidth="0">
            <w:col w:w="5020" w:space="460"/>
            <w:col w:w="4160"/>
          </w:cols>
          <w:docGrid w:linePitch="360"/>
        </w:sect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399" w:rsidRPr="009C6D57" w:rsidRDefault="00EE6399" w:rsidP="00EE6399">
      <w:pPr>
        <w:jc w:val="center"/>
        <w:rPr>
          <w:b/>
          <w:sz w:val="28"/>
          <w:szCs w:val="28"/>
        </w:rPr>
      </w:pPr>
      <w:r w:rsidRPr="009C6D57">
        <w:rPr>
          <w:b/>
          <w:sz w:val="28"/>
          <w:szCs w:val="28"/>
        </w:rPr>
        <w:t>STANDAR OPERASIONAL PROSEDUR</w:t>
      </w:r>
    </w:p>
    <w:p w:rsidR="00EE6399" w:rsidRPr="009C6D57" w:rsidRDefault="00EE6399" w:rsidP="00EE6399">
      <w:pPr>
        <w:jc w:val="center"/>
        <w:rPr>
          <w:b/>
          <w:sz w:val="28"/>
          <w:szCs w:val="28"/>
        </w:rPr>
      </w:pPr>
      <w:r w:rsidRPr="009C6D57">
        <w:rPr>
          <w:b/>
          <w:sz w:val="28"/>
          <w:szCs w:val="28"/>
        </w:rPr>
        <w:t>KERJASAMA DENGAN PERGURUAN TINGGI DALAM DAN LUAR NEGERI</w:t>
      </w:r>
    </w:p>
    <w:p w:rsidR="00EE6399" w:rsidRPr="00EE6399" w:rsidRDefault="00EE6399" w:rsidP="00EE6399">
      <w:pPr>
        <w:jc w:val="center"/>
        <w:rPr>
          <w:b/>
          <w:lang w:val="id-ID"/>
        </w:rPr>
      </w:pPr>
    </w:p>
    <w:tbl>
      <w:tblPr>
        <w:tblW w:w="893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11"/>
        <w:gridCol w:w="4820"/>
      </w:tblGrid>
      <w:tr w:rsidR="00EE6399" w:rsidRPr="00EE6399" w:rsidTr="00EE6399">
        <w:tc>
          <w:tcPr>
            <w:tcW w:w="4111" w:type="dxa"/>
          </w:tcPr>
          <w:p w:rsidR="00EE6399" w:rsidRPr="00EE6399" w:rsidRDefault="00EE6399" w:rsidP="00441E2E">
            <w:pPr>
              <w:rPr>
                <w:b/>
                <w:lang w:val="id-ID"/>
              </w:rPr>
            </w:pPr>
            <w:r w:rsidRPr="00EE6399">
              <w:rPr>
                <w:b/>
                <w:lang w:val="id-ID"/>
              </w:rPr>
              <w:t xml:space="preserve">SOP ini digunakan untuk melengkapi : </w:t>
            </w:r>
          </w:p>
          <w:p w:rsidR="00EE6399" w:rsidRPr="00EE6399" w:rsidRDefault="00EE6399" w:rsidP="00EE639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20" w:type="dxa"/>
          </w:tcPr>
          <w:p w:rsidR="00EE6399" w:rsidRPr="00EE6399" w:rsidRDefault="00EE6399" w:rsidP="00EE639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60"/>
              <w:rPr>
                <w:b/>
                <w:lang w:val="id-ID"/>
              </w:rPr>
            </w:pPr>
          </w:p>
        </w:tc>
      </w:tr>
    </w:tbl>
    <w:p w:rsidR="00EE6399" w:rsidRPr="00EE6399" w:rsidRDefault="00EE6399" w:rsidP="00EE6399">
      <w:pPr>
        <w:tabs>
          <w:tab w:val="left" w:pos="6045"/>
        </w:tabs>
        <w:rPr>
          <w:b/>
          <w:lang w:val="id-ID"/>
        </w:rPr>
      </w:pPr>
      <w:r w:rsidRPr="00EE6399">
        <w:rPr>
          <w:b/>
          <w:lang w:val="id-ID"/>
        </w:rPr>
        <w:tab/>
      </w:r>
    </w:p>
    <w:p w:rsidR="00EE6399" w:rsidRPr="00EE6399" w:rsidRDefault="00EE6399" w:rsidP="00EE6399"/>
    <w:tbl>
      <w:tblPr>
        <w:tblW w:w="921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0"/>
        <w:gridCol w:w="3118"/>
        <w:gridCol w:w="1985"/>
        <w:gridCol w:w="1140"/>
        <w:gridCol w:w="1411"/>
      </w:tblGrid>
      <w:tr w:rsidR="00EE6399" w:rsidRPr="00EE6399" w:rsidTr="00EE6399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Proses</w:t>
            </w:r>
            <w:proofErr w:type="spellEnd"/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Penanggung</w:t>
            </w:r>
            <w:proofErr w:type="spellEnd"/>
            <w:r w:rsidRPr="00EE6399">
              <w:t xml:space="preserve"> </w:t>
            </w:r>
            <w:proofErr w:type="spellStart"/>
            <w:r w:rsidRPr="00EE6399">
              <w:t>jawab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Tanggal</w:t>
            </w:r>
            <w:proofErr w:type="spellEnd"/>
          </w:p>
        </w:tc>
      </w:tr>
      <w:tr w:rsidR="00EE6399" w:rsidRPr="00EE6399" w:rsidTr="00EE6399">
        <w:trPr>
          <w:trHeight w:val="13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Nama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Jabatan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r w:rsidRPr="00EE6399">
              <w:t>TTD</w:t>
            </w:r>
          </w:p>
        </w:tc>
        <w:tc>
          <w:tcPr>
            <w:tcW w:w="1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EE6399">
            <w:pPr>
              <w:autoSpaceDE w:val="0"/>
              <w:autoSpaceDN w:val="0"/>
              <w:adjustRightInd w:val="0"/>
            </w:pPr>
            <w:proofErr w:type="spellStart"/>
            <w:r w:rsidRPr="00EE6399">
              <w:t>Perumusan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>
            <w:proofErr w:type="spellStart"/>
            <w:r w:rsidRPr="00EE6399">
              <w:t>Pemeriksaan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>
            <w:proofErr w:type="spellStart"/>
            <w:r w:rsidRPr="00EE6399">
              <w:t>Penetapan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>
            <w:proofErr w:type="spellStart"/>
            <w:r w:rsidRPr="00EE6399">
              <w:t>Pengendalian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</w:tbl>
    <w:p w:rsidR="00EE6399" w:rsidRPr="00EE6399" w:rsidRDefault="00EE6399" w:rsidP="00EE6399">
      <w:pPr>
        <w:tabs>
          <w:tab w:val="left" w:pos="5205"/>
        </w:tabs>
        <w:rPr>
          <w:b/>
          <w:lang w:val="id-ID"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Pr="00EE6399" w:rsidRDefault="00EE6399" w:rsidP="00EE6399">
      <w:pPr>
        <w:tabs>
          <w:tab w:val="left" w:pos="5205"/>
        </w:tabs>
        <w:rPr>
          <w:b/>
        </w:rPr>
      </w:pPr>
    </w:p>
    <w:p w:rsidR="00EE6399" w:rsidRPr="00EE6399" w:rsidRDefault="00EE6399" w:rsidP="00EE6399"/>
    <w:p w:rsidR="00EE6399" w:rsidRPr="00EE6399" w:rsidRDefault="00EE6399" w:rsidP="00EE6399">
      <w:pPr>
        <w:jc w:val="center"/>
        <w:rPr>
          <w:b/>
          <w:sz w:val="28"/>
          <w:szCs w:val="28"/>
        </w:rPr>
      </w:pPr>
      <w:r w:rsidRPr="00EE6399">
        <w:rPr>
          <w:b/>
          <w:sz w:val="28"/>
          <w:szCs w:val="28"/>
        </w:rPr>
        <w:t>STANDAR OPERASIONAL PROSEDUR</w:t>
      </w:r>
    </w:p>
    <w:p w:rsidR="00EE6399" w:rsidRPr="00EE6399" w:rsidRDefault="00EE6399" w:rsidP="00EE6399">
      <w:pPr>
        <w:jc w:val="center"/>
        <w:rPr>
          <w:b/>
          <w:sz w:val="28"/>
          <w:szCs w:val="28"/>
        </w:rPr>
      </w:pPr>
      <w:r w:rsidRPr="00EE6399">
        <w:rPr>
          <w:b/>
          <w:sz w:val="28"/>
          <w:szCs w:val="28"/>
        </w:rPr>
        <w:t>KERJASAMA DENGAN PERGURUAN TINGGI DALAM DAN LUAR NEGERI</w:t>
      </w:r>
    </w:p>
    <w:p w:rsidR="00EE6399" w:rsidRPr="00EE6399" w:rsidRDefault="00EE6399" w:rsidP="00EE6399">
      <w:pPr>
        <w:rPr>
          <w:b/>
        </w:rPr>
      </w:pPr>
      <w:r w:rsidRPr="00EE6399">
        <w:rPr>
          <w:b/>
          <w:noProof/>
        </w:rPr>
        <w:pict>
          <v:line id="Straight Connector 91" o:spid="_x0000_s1050" style="position:absolute;z-index:251663872;visibility:visible;mso-height-relative:margin" from="-.3pt,5.55pt" to="445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"/>
        </w:pict>
      </w:r>
    </w:p>
    <w:p w:rsidR="00EE6399" w:rsidRPr="00EE6399" w:rsidRDefault="00EE6399" w:rsidP="00EE6399">
      <w:pPr>
        <w:rPr>
          <w:b/>
        </w:rPr>
      </w:pPr>
    </w:p>
    <w:p w:rsidR="00EE6399" w:rsidRPr="00EE6399" w:rsidRDefault="00EE6399" w:rsidP="00EE639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eastAsiaTheme="minorHAnsi"/>
          <w:bCs/>
          <w:lang w:val="en-US"/>
        </w:rPr>
      </w:pPr>
      <w:proofErr w:type="spellStart"/>
      <w:r w:rsidRPr="00EE6399">
        <w:rPr>
          <w:rFonts w:eastAsiaTheme="minorHAnsi"/>
          <w:bCs/>
          <w:lang w:val="en-US"/>
        </w:rPr>
        <w:t>Tujuan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eastAsiaTheme="minorHAnsi" w:hAnsi="Times New Roman" w:cs="Times New Roman"/>
          <w:bCs/>
          <w:sz w:val="24"/>
          <w:szCs w:val="24"/>
        </w:rPr>
        <w:t xml:space="preserve">1.1. </w:t>
      </w:r>
      <w:r w:rsidRPr="00EE6399"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hanging="425"/>
        <w:rPr>
          <w:rFonts w:eastAsiaTheme="minorHAnsi"/>
          <w:lang w:val="en-US"/>
        </w:rPr>
      </w:pPr>
      <w:proofErr w:type="spellStart"/>
      <w:r w:rsidRPr="00EE6399">
        <w:rPr>
          <w:rFonts w:eastAsiaTheme="minorHAnsi"/>
          <w:lang w:val="en-US"/>
        </w:rPr>
        <w:t>Memastikan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bahwa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kerjasama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dengan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perguruan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tinggi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dalam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negeri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luar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negeri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dapat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berjalan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sebagaimana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mestinya</w:t>
      </w:r>
      <w:proofErr w:type="spellEnd"/>
      <w:r w:rsidRPr="00EE6399">
        <w:rPr>
          <w:rFonts w:eastAsiaTheme="minorHAnsi"/>
          <w:lang w:val="en-US"/>
        </w:rPr>
        <w:t>.</w:t>
      </w:r>
    </w:p>
    <w:p w:rsidR="00EE6399" w:rsidRPr="00EE6399" w:rsidRDefault="00EE6399" w:rsidP="00EE639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hanging="425"/>
        <w:rPr>
          <w:rFonts w:eastAsiaTheme="minorHAnsi"/>
          <w:lang w:val="en-US"/>
        </w:rPr>
      </w:pPr>
      <w:proofErr w:type="spellStart"/>
      <w:r w:rsidRPr="00EE6399">
        <w:rPr>
          <w:rFonts w:eastAsiaTheme="minorHAnsi"/>
          <w:lang w:val="en-US"/>
        </w:rPr>
        <w:t>Meningkatkan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jumlah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pihak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eksternal</w:t>
      </w:r>
      <w:proofErr w:type="spellEnd"/>
      <w:r w:rsidRPr="00EE6399">
        <w:rPr>
          <w:rFonts w:eastAsiaTheme="minorHAnsi"/>
          <w:lang w:val="en-US"/>
        </w:rPr>
        <w:t xml:space="preserve"> yang </w:t>
      </w:r>
      <w:proofErr w:type="spellStart"/>
      <w:r w:rsidRPr="00EE6399">
        <w:rPr>
          <w:rFonts w:eastAsiaTheme="minorHAnsi"/>
          <w:lang w:val="en-US"/>
        </w:rPr>
        <w:t>melakukan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kerjasama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dengan</w:t>
      </w:r>
      <w:proofErr w:type="spellEnd"/>
      <w:r w:rsidRPr="00EE6399">
        <w:rPr>
          <w:rFonts w:eastAsiaTheme="minorHAnsi"/>
          <w:lang w:val="en-US"/>
        </w:rPr>
        <w:t xml:space="preserve"> </w:t>
      </w:r>
      <w:r w:rsidRPr="00EE6399">
        <w:t xml:space="preserve">STIA &amp;P ADS </w:t>
      </w:r>
      <w:proofErr w:type="spellStart"/>
      <w:r w:rsidRPr="00EE6399">
        <w:rPr>
          <w:rFonts w:eastAsiaTheme="minorHAnsi"/>
          <w:lang w:val="en-US"/>
        </w:rPr>
        <w:t>dalam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rangka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meningkatkan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mutu</w:t>
      </w:r>
      <w:proofErr w:type="spellEnd"/>
      <w:r w:rsidRPr="00EE6399">
        <w:rPr>
          <w:rFonts w:eastAsiaTheme="minorHAnsi"/>
          <w:lang w:val="en-US"/>
        </w:rPr>
        <w:t xml:space="preserve"> </w:t>
      </w:r>
      <w:r w:rsidRPr="00EE6399">
        <w:t>STIA &amp;P ADS</w:t>
      </w:r>
    </w:p>
    <w:p w:rsidR="00EE6399" w:rsidRPr="00EE6399" w:rsidRDefault="00EE6399" w:rsidP="00EE639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hanging="76"/>
        <w:rPr>
          <w:rFonts w:eastAsiaTheme="minorHAnsi"/>
          <w:lang w:val="en-US"/>
        </w:rPr>
      </w:pPr>
      <w:proofErr w:type="spellStart"/>
      <w:r w:rsidRPr="00EE6399">
        <w:rPr>
          <w:rFonts w:eastAsiaTheme="minorHAnsi"/>
          <w:lang w:val="en-US"/>
        </w:rPr>
        <w:t>Menjamin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bahwa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MoU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baik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dapat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ditindaklanjuti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dengan</w:t>
      </w:r>
      <w:proofErr w:type="spellEnd"/>
      <w:r w:rsidRPr="00EE6399">
        <w:rPr>
          <w:rFonts w:eastAsiaTheme="minorHAnsi"/>
          <w:lang w:val="en-US"/>
        </w:rPr>
        <w:t xml:space="preserve"> </w:t>
      </w:r>
      <w:proofErr w:type="spellStart"/>
      <w:r w:rsidRPr="00EE6399">
        <w:rPr>
          <w:rFonts w:eastAsiaTheme="minorHAnsi"/>
          <w:lang w:val="en-US"/>
        </w:rPr>
        <w:t>sungguh-sungguh</w:t>
      </w:r>
      <w:proofErr w:type="spellEnd"/>
      <w:r w:rsidRPr="00EE6399">
        <w:rPr>
          <w:rFonts w:eastAsiaTheme="minorHAnsi"/>
          <w:lang w:val="en-US"/>
        </w:rPr>
        <w:t>.</w:t>
      </w: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Lingkup</w:t>
      </w:r>
      <w:proofErr w:type="spellEnd"/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ab/>
      </w:r>
      <w:r w:rsidRPr="00EE63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tahapan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>-tahapan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penjalinan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perintisan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Terlibat</w:t>
      </w:r>
      <w:proofErr w:type="spellEnd"/>
    </w:p>
    <w:p w:rsid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ab/>
      </w:r>
      <w:r w:rsidRPr="00EE63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Definisi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;</w:t>
      </w:r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    4.2.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39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;</w:t>
      </w:r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    4.3. 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(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EE639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Acuan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    5.1.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78,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NegaraNomor4301);</w:t>
      </w:r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    5.2.Peraturan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;</w:t>
      </w:r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    5.3.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diperbarui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;</w:t>
      </w:r>
    </w:p>
    <w:p w:rsidR="00EE6399" w:rsidRPr="00EE6399" w:rsidRDefault="00EE6399" w:rsidP="00EE6399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399" w:rsidRPr="00EE6399" w:rsidRDefault="00EE6399" w:rsidP="00EE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Prosedur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99">
        <w:rPr>
          <w:rFonts w:ascii="Times New Roman" w:hAnsi="Times New Roman" w:cs="Times New Roman"/>
          <w:b/>
          <w:sz w:val="24"/>
          <w:szCs w:val="24"/>
        </w:rPr>
        <w:t xml:space="preserve">6.1.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Perintisan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Perintisan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penjajagan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internal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Kedua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belah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penjajagan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penting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/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tidaknya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melalui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media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komunikasi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(email, </w:t>
      </w:r>
      <w:proofErr w:type="spellStart"/>
      <w:proofErr w:type="gramStart"/>
      <w:r w:rsidRPr="00EE6399">
        <w:rPr>
          <w:rFonts w:ascii="Times New Roman" w:eastAsiaTheme="minorHAnsi" w:hAnsi="Times New Roman" w:cs="Times New Roman"/>
          <w:sz w:val="24"/>
          <w:szCs w:val="24"/>
        </w:rPr>
        <w:t>surat</w:t>
      </w:r>
      <w:proofErr w:type="spellEnd"/>
      <w:proofErr w:type="gram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telpon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melalui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kunjungan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eastAsiaTheme="minorHAnsi" w:hAnsi="Times New Roman" w:cs="Times New Roman"/>
          <w:sz w:val="24"/>
          <w:szCs w:val="24"/>
        </w:rPr>
        <w:t>langsung</w:t>
      </w:r>
      <w:proofErr w:type="spellEnd"/>
      <w:r w:rsidRPr="00EE639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99">
        <w:rPr>
          <w:rFonts w:ascii="Times New Roman" w:hAnsi="Times New Roman" w:cs="Times New Roman"/>
          <w:b/>
          <w:sz w:val="24"/>
          <w:szCs w:val="24"/>
        </w:rPr>
        <w:t xml:space="preserve">6.2.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MoU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: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dibicarakan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,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draf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(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,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,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naskahnya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dimintakan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paraf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,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naskah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diparaf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),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99">
        <w:rPr>
          <w:rFonts w:ascii="Times New Roman" w:hAnsi="Times New Roman" w:cs="Times New Roman"/>
          <w:b/>
          <w:sz w:val="24"/>
          <w:szCs w:val="24"/>
        </w:rPr>
        <w:t xml:space="preserve">6.3.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399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teknisnya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E6399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ditembuskan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399" w:rsidRPr="00EE6399" w:rsidRDefault="00EE6399" w:rsidP="00EE639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99">
        <w:rPr>
          <w:rFonts w:ascii="Times New Roman" w:hAnsi="Times New Roman" w:cs="Times New Roman"/>
          <w:b/>
          <w:sz w:val="24"/>
          <w:szCs w:val="24"/>
        </w:rPr>
        <w:t xml:space="preserve">6.4. Monitoring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</w:p>
    <w:p w:rsidR="00EE6399" w:rsidRPr="00EE6399" w:rsidRDefault="00EE6399" w:rsidP="00EE63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STIA &amp;P ADS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agar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mendasarkan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</w:p>
    <w:p w:rsidR="00EE6399" w:rsidRPr="00EE6399" w:rsidRDefault="00EE6399" w:rsidP="00EE63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99">
        <w:rPr>
          <w:rFonts w:ascii="Times New Roman" w:hAnsi="Times New Roman" w:cs="Times New Roman"/>
          <w:b/>
          <w:sz w:val="24"/>
          <w:szCs w:val="24"/>
        </w:rPr>
        <w:t xml:space="preserve">6.5.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EE6399" w:rsidRPr="00EE6399" w:rsidRDefault="00EE6399" w:rsidP="00EE63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639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399" w:rsidRPr="00EE6399" w:rsidRDefault="00EE6399" w:rsidP="00EE639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99">
        <w:rPr>
          <w:rFonts w:ascii="Times New Roman" w:hAnsi="Times New Roman" w:cs="Times New Roman"/>
          <w:b/>
          <w:sz w:val="24"/>
          <w:szCs w:val="24"/>
        </w:rPr>
        <w:t xml:space="preserve">6.6.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Pemutusan</w:t>
      </w:r>
      <w:proofErr w:type="spellEnd"/>
      <w:r w:rsidRPr="00EE6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</w:p>
    <w:p w:rsidR="00EE6399" w:rsidRPr="00EE6399" w:rsidRDefault="00EE6399" w:rsidP="00EE6399">
      <w:pPr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E6399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EE63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399" w:rsidRPr="00EE6399" w:rsidRDefault="00EE6399" w:rsidP="00EE63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 xml:space="preserve">7.  DIAGRAM ALIR PENYUSUNAN </w:t>
      </w:r>
      <w:proofErr w:type="spellStart"/>
      <w:r w:rsidRPr="00EE6399">
        <w:rPr>
          <w:rFonts w:ascii="Times New Roman" w:hAnsi="Times New Roman" w:cs="Times New Roman"/>
          <w:sz w:val="24"/>
          <w:szCs w:val="24"/>
        </w:rPr>
        <w:t>MoU</w:t>
      </w:r>
      <w:proofErr w:type="spellEnd"/>
    </w:p>
    <w:p w:rsidR="00EE6399" w:rsidRPr="00EE6399" w:rsidRDefault="00EE6399" w:rsidP="00EE6399">
      <w:pPr>
        <w:rPr>
          <w:rFonts w:ascii="Times New Roman" w:hAnsi="Times New Roman" w:cs="Times New Roman"/>
          <w:sz w:val="24"/>
          <w:szCs w:val="24"/>
        </w:rPr>
      </w:pPr>
    </w:p>
    <w:p w:rsidR="00EE6399" w:rsidRPr="00EE6399" w:rsidRDefault="00EE6399" w:rsidP="00EE6399">
      <w:r w:rsidRPr="00EE6399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71.35pt;margin-top:3.2pt;width:2in;height:49.45pt;z-index:251665920"/>
        </w:pict>
      </w:r>
      <w:bookmarkStart w:id="0" w:name="_GoBack"/>
      <w:bookmarkEnd w:id="0"/>
      <w:r w:rsidRPr="00EE6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0.15pt;margin-top:7.6pt;width:122.1pt;height:35.05pt;z-index:251666944" strokecolor="white">
            <v:textbox style="mso-next-textbox:#_x0000_s1053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Tahap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perintisan</w:t>
                  </w:r>
                  <w:proofErr w:type="spellEnd"/>
                  <w:r>
                    <w:t>/</w:t>
                  </w:r>
                  <w:proofErr w:type="spellStart"/>
                  <w:r>
                    <w:t>penjajagan</w:t>
                  </w:r>
                  <w:proofErr w:type="spellEnd"/>
                </w:p>
              </w:txbxContent>
            </v:textbox>
          </v:shape>
        </w:pict>
      </w:r>
    </w:p>
    <w:p w:rsidR="00EE6399" w:rsidRPr="00EE6399" w:rsidRDefault="00EE6399" w:rsidP="00EE6399"/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65" type="#_x0000_t32" style="position:absolute;margin-left:143.35pt;margin-top:11.25pt;width:0;height:20.05pt;z-index:251679232" o:connectortype="straight">
            <v:stroke endarrow="block"/>
          </v:shape>
        </w:pict>
      </w:r>
    </w:p>
    <w:p w:rsidR="00EE6399" w:rsidRPr="00EE6399" w:rsidRDefault="00EE6399" w:rsidP="00EE6399">
      <w:r w:rsidRPr="00EE6399">
        <w:rPr>
          <w:noProof/>
        </w:rPr>
        <w:pict>
          <v:shape id="_x0000_s1079" type="#_x0000_t202" style="position:absolute;margin-left:256.15pt;margin-top:8.75pt;width:20.05pt;height:231.05pt;z-index:251693568">
            <v:textbox style="mso-next-textbox:#_x0000_s1079">
              <w:txbxContent>
                <w:p w:rsidR="00EE6399" w:rsidRDefault="00EE6399" w:rsidP="00EE6399">
                  <w:proofErr w:type="spellStart"/>
                  <w:r>
                    <w:t>Tidak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disepakatiti</w:t>
                  </w:r>
                  <w:proofErr w:type="spellEnd"/>
                </w:p>
              </w:txbxContent>
            </v:textbox>
          </v:shape>
        </w:pict>
      </w:r>
    </w:p>
    <w:p w:rsidR="00EE6399" w:rsidRPr="00EE6399" w:rsidRDefault="00EE6399" w:rsidP="00EE6399">
      <w:r w:rsidRPr="00EE6399">
        <w:rPr>
          <w:noProof/>
        </w:rPr>
        <w:pict>
          <v:shape id="_x0000_s1061" type="#_x0000_t202" style="position:absolute;margin-left:94.7pt;margin-top:11.85pt;width:102.1pt;height:21.9pt;z-index:251675136" strokecolor="white">
            <v:textbox style="mso-next-textbox:#_x0000_s1061">
              <w:txbxContent>
                <w:p w:rsidR="00EE6399" w:rsidRDefault="00EE6399" w:rsidP="00EE6399">
                  <w:proofErr w:type="spellStart"/>
                  <w:r>
                    <w:t>Penyusunan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</w:t>
                  </w:r>
                  <w:proofErr w:type="spellEnd"/>
                </w:p>
              </w:txbxContent>
            </v:textbox>
          </v:shape>
        </w:pict>
      </w:r>
      <w:r w:rsidRPr="00EE6399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0" type="#_x0000_t114" style="position:absolute;margin-left:85.85pt;margin-top:3.7pt;width:122.05pt;height:48pt;z-index:251674112"/>
        </w:pict>
      </w:r>
    </w:p>
    <w:p w:rsidR="00EE6399" w:rsidRPr="00EE6399" w:rsidRDefault="00EE6399" w:rsidP="00EE6399">
      <w:r w:rsidRPr="00EE6399">
        <w:rPr>
          <w:noProof/>
        </w:rPr>
        <w:pict>
          <v:shape id="_x0000_s1078" type="#_x0000_t32" style="position:absolute;margin-left:207.9pt;margin-top:10.55pt;width:43.15pt;height:0;flip:x;z-index:251692544" o:connectortype="straight">
            <v:stroke endarrow="block"/>
          </v:shape>
        </w:pict>
      </w:r>
      <w:r w:rsidRPr="00EE6399">
        <w:rPr>
          <w:noProof/>
        </w:rPr>
        <w:pict>
          <v:shape id="_x0000_s1077" type="#_x0000_t32" style="position:absolute;margin-left:251.05pt;margin-top:10.55pt;width:0;height:155.9pt;flip:y;z-index:251691520" o:connectortype="straight"/>
        </w:pict>
      </w:r>
    </w:p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66" type="#_x0000_t32" style="position:absolute;margin-left:143.35pt;margin-top:10.3pt;width:.05pt;height:22.15pt;z-index:251680256" o:connectortype="straight">
            <v:stroke endarrow="block"/>
          </v:shape>
        </w:pict>
      </w:r>
    </w:p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55" type="#_x0000_t202" style="position:absolute;margin-left:85.7pt;margin-top:4.85pt;width:129.65pt;height:36.95pt;z-index:251668992">
            <v:textbox style="mso-next-textbox:#_x0000_s1055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Pembahasan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revisi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dratf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</w:t>
                  </w:r>
                  <w:proofErr w:type="spellEnd"/>
                </w:p>
              </w:txbxContent>
            </v:textbox>
          </v:shape>
        </w:pict>
      </w:r>
    </w:p>
    <w:p w:rsidR="00EE6399" w:rsidRPr="00EE6399" w:rsidRDefault="00EE6399" w:rsidP="00EE6399"/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67" type="#_x0000_t32" style="position:absolute;margin-left:147.75pt;margin-top:.4pt;width:0;height:22.5pt;z-index:251681280" o:connectortype="straight">
            <v:stroke endarrow="block"/>
          </v:shape>
        </w:pict>
      </w:r>
    </w:p>
    <w:p w:rsidR="00EE6399" w:rsidRPr="00EE6399" w:rsidRDefault="00EE6399" w:rsidP="00EE6399">
      <w:r w:rsidRPr="00EE6399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1" type="#_x0000_t110" style="position:absolute;margin-left:66.95pt;margin-top:9.1pt;width:164.15pt;height:92.7pt;z-index:251664896"/>
        </w:pict>
      </w:r>
    </w:p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54" type="#_x0000_t202" style="position:absolute;margin-left:112.1pt;margin-top:1.55pt;width:77pt;height:48.2pt;z-index:251667968" strokecolor="white">
            <v:textbox style="mso-next-textbox:#_x0000_s1054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Pembahasan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bersama</w:t>
                  </w:r>
                  <w:proofErr w:type="spellEnd"/>
                  <w:r>
                    <w:t xml:space="preserve"> draft </w:t>
                  </w:r>
                  <w:proofErr w:type="spellStart"/>
                  <w:r>
                    <w:t>MoU</w:t>
                  </w:r>
                  <w:proofErr w:type="spellEnd"/>
                </w:p>
              </w:txbxContent>
            </v:textbox>
          </v:shape>
        </w:pict>
      </w:r>
    </w:p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76" type="#_x0000_t32" style="position:absolute;margin-left:231.1pt;margin-top:.85pt;width:19.95pt;height:0;z-index:251690496" o:connectortype="straight"/>
        </w:pict>
      </w:r>
    </w:p>
    <w:p w:rsidR="00EE6399" w:rsidRPr="00EE6399" w:rsidRDefault="00EE6399" w:rsidP="00EE6399"/>
    <w:p w:rsidR="00EE6399" w:rsidRPr="00EE6399" w:rsidRDefault="00EE6399" w:rsidP="00EE6399">
      <w:r w:rsidRPr="00EE6399">
        <w:rPr>
          <w:noProof/>
        </w:rPr>
        <w:pict>
          <v:shape id="_x0000_s1075" type="#_x0000_t202" style="position:absolute;margin-left:168.3pt;margin-top:14.1pt;width:71.4pt;height:21.9pt;z-index:251689472" strokecolor="white">
            <v:textbox style="mso-next-textbox:#_x0000_s1075">
              <w:txbxContent>
                <w:p w:rsidR="00EE6399" w:rsidRDefault="00EE6399" w:rsidP="00EE6399">
                  <w:proofErr w:type="spellStart"/>
                  <w:r>
                    <w:t>Disepakati</w:t>
                  </w:r>
                  <w:proofErr w:type="spellEnd"/>
                </w:p>
              </w:txbxContent>
            </v:textbox>
          </v:shape>
        </w:pict>
      </w:r>
      <w:r w:rsidRPr="00EE6399">
        <w:rPr>
          <w:noProof/>
        </w:rPr>
        <w:pict>
          <v:shape id="_x0000_s1074" type="#_x0000_t202" style="position:absolute;margin-left:156.5pt;margin-top:221.9pt;width:45.75pt;height:24.4pt;z-index:251688448" strokecolor="white">
            <v:textbox style="mso-next-textbox:#_x0000_s1074">
              <w:txbxContent>
                <w:p w:rsidR="00EE6399" w:rsidRDefault="00EE6399" w:rsidP="00EE6399">
                  <w:proofErr w:type="spellStart"/>
                  <w:r>
                    <w:t>Baik</w:t>
                  </w:r>
                  <w:proofErr w:type="spellEnd"/>
                </w:p>
              </w:txbxContent>
            </v:textbox>
          </v:shape>
        </w:pict>
      </w:r>
      <w:r w:rsidRPr="00EE6399">
        <w:rPr>
          <w:noProof/>
        </w:rPr>
        <w:pict>
          <v:shape id="_x0000_s1071" type="#_x0000_t32" style="position:absolute;margin-left:147.75pt;margin-top:220.65pt;width:0;height:35.05pt;z-index:251685376" o:connectortype="straight">
            <v:stroke endarrow="block"/>
          </v:shape>
        </w:pict>
      </w:r>
      <w:r w:rsidRPr="00EE6399">
        <w:rPr>
          <w:noProof/>
        </w:rPr>
        <w:pict>
          <v:shape id="_x0000_s1064" type="#_x0000_t202" style="position:absolute;margin-left:72.05pt;margin-top:255.7pt;width:159.05pt;height:36.9pt;z-index:251678208">
            <v:textbox style="mso-next-textbox:#_x0000_s1064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Pengembangan</w:t>
                  </w:r>
                  <w:proofErr w:type="spellEnd"/>
                  <w:r>
                    <w:t>/</w:t>
                  </w:r>
                  <w:proofErr w:type="spellStart"/>
                  <w:r>
                    <w:t>perpanjangan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kerjasama</w:t>
                  </w:r>
                  <w:proofErr w:type="spellEnd"/>
                </w:p>
              </w:txbxContent>
            </v:textbox>
          </v:shape>
        </w:pict>
      </w:r>
      <w:r w:rsidRPr="00EE6399">
        <w:rPr>
          <w:noProof/>
        </w:rPr>
        <w:pict>
          <v:shape id="_x0000_s1073" type="#_x0000_t202" style="position:absolute;margin-left:207.9pt;margin-top:160.55pt;width:93.85pt;height:18.75pt;z-index:251687424" strokecolor="white">
            <v:textbox style="mso-next-textbox:#_x0000_s1073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Tidak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baik</w:t>
                  </w:r>
                  <w:proofErr w:type="spellEnd"/>
                </w:p>
              </w:txbxContent>
            </v:textbox>
          </v:shape>
        </w:pict>
      </w:r>
      <w:r w:rsidRPr="00EE6399">
        <w:rPr>
          <w:noProof/>
        </w:rPr>
        <w:pict>
          <v:shape id="_x0000_s1072" type="#_x0000_t32" style="position:absolute;margin-left:220.3pt;margin-top:189.3pt;width:81.45pt;height:0;z-index:251686400" o:connectortype="straight">
            <v:stroke endarrow="block"/>
          </v:shape>
        </w:pict>
      </w:r>
      <w:r w:rsidRPr="00EE6399">
        <w:rPr>
          <w:noProof/>
        </w:rPr>
        <w:pict>
          <v:shape id="_x0000_s1063" type="#_x0000_t202" style="position:absolute;margin-left:319.85pt;margin-top:179.3pt;width:81.4pt;height:22.55pt;z-index:251677184" strokecolor="white">
            <v:textbox style="mso-next-textbox:#_x0000_s1063">
              <w:txbxContent>
                <w:p w:rsidR="00EE6399" w:rsidRDefault="00EE6399" w:rsidP="00EE6399">
                  <w:pPr>
                    <w:jc w:val="center"/>
                  </w:pPr>
                  <w:r>
                    <w:t>Stop</w:t>
                  </w:r>
                </w:p>
              </w:txbxContent>
            </v:textbox>
          </v:shape>
        </w:pict>
      </w:r>
      <w:r w:rsidRPr="00EE6399">
        <w:rPr>
          <w:noProof/>
        </w:rPr>
        <w:pict>
          <v:shape id="_x0000_s1062" type="#_x0000_t116" style="position:absolute;margin-left:301.75pt;margin-top:172.4pt;width:115.2pt;height:35.05pt;z-index:251676160"/>
        </w:pict>
      </w:r>
      <w:r w:rsidRPr="00EE6399">
        <w:rPr>
          <w:noProof/>
        </w:rPr>
        <w:pict>
          <v:shape id="_x0000_s1058" type="#_x0000_t110" style="position:absolute;margin-left:71.35pt;margin-top:158.65pt;width:148.95pt;height:62pt;z-index:251672064"/>
        </w:pict>
      </w:r>
      <w:r w:rsidRPr="00EE6399">
        <w:rPr>
          <w:noProof/>
        </w:rPr>
        <w:pict>
          <v:shape id="_x0000_s1070" type="#_x0000_t32" style="position:absolute;margin-left:147.75pt;margin-top:136.15pt;width:0;height:22.5pt;z-index:251684352" o:connectortype="straight">
            <v:stroke endarrow="block"/>
          </v:shape>
        </w:pict>
      </w:r>
      <w:r w:rsidRPr="00EE6399">
        <w:rPr>
          <w:noProof/>
        </w:rPr>
        <w:pict>
          <v:shape id="_x0000_s1059" type="#_x0000_t202" style="position:absolute;margin-left:112.1pt;margin-top:179.3pt;width:77pt;height:22.55pt;z-index:251673088" strokecolor="white">
            <v:textbox style="mso-next-textbox:#_x0000_s1059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Evaluasi</w:t>
                  </w:r>
                  <w:proofErr w:type="spellEnd"/>
                </w:p>
              </w:txbxContent>
            </v:textbox>
          </v:shape>
        </w:pict>
      </w:r>
      <w:r w:rsidRPr="00EE6399">
        <w:rPr>
          <w:noProof/>
        </w:rPr>
        <w:pict>
          <v:shape id="_x0000_s1069" type="#_x0000_t32" style="position:absolute;margin-left:147.75pt;margin-top:74.65pt;width:0;height:22.5pt;z-index:251683328" o:connectortype="straight">
            <v:stroke endarrow="block"/>
          </v:shape>
        </w:pict>
      </w:r>
      <w:r w:rsidRPr="00EE6399">
        <w:rPr>
          <w:noProof/>
        </w:rPr>
        <w:pict>
          <v:shape id="_x0000_s1068" type="#_x0000_t32" style="position:absolute;margin-left:147.75pt;margin-top:19.05pt;width:0;height:22.5pt;z-index:251682304" o:connectortype="straight">
            <v:stroke endarrow="block"/>
          </v:shape>
        </w:pict>
      </w:r>
      <w:r w:rsidRPr="00EE6399">
        <w:rPr>
          <w:noProof/>
        </w:rPr>
        <w:pict>
          <v:shape id="_x0000_s1057" type="#_x0000_t202" style="position:absolute;margin-left:100.25pt;margin-top:98.55pt;width:107.65pt;height:35.7pt;z-index:251671040">
            <v:textbox style="mso-next-textbox:#_x0000_s1057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Pelaksanaan</w:t>
                  </w:r>
                  <w:proofErr w:type="spellEnd"/>
                  <w:r>
                    <w:t xml:space="preserve"> Program</w:t>
                  </w:r>
                </w:p>
              </w:txbxContent>
            </v:textbox>
          </v:shape>
        </w:pict>
      </w:r>
      <w:r w:rsidRPr="00EE6399">
        <w:rPr>
          <w:noProof/>
        </w:rPr>
        <w:pict>
          <v:shape id="_x0000_s1056" type="#_x0000_t202" style="position:absolute;margin-left:100.25pt;margin-top:41.55pt;width:107.65pt;height:32.55pt;z-index:251670016">
            <v:textbox style="mso-next-textbox:#_x0000_s1056">
              <w:txbxContent>
                <w:p w:rsidR="00EE6399" w:rsidRDefault="00EE6399" w:rsidP="00EE6399">
                  <w:pPr>
                    <w:jc w:val="center"/>
                  </w:pPr>
                  <w:proofErr w:type="spellStart"/>
                  <w:r>
                    <w:t>Penandatanganan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</w:t>
                  </w:r>
                  <w:proofErr w:type="spellEnd"/>
                </w:p>
              </w:txbxContent>
            </v:textbox>
          </v:shape>
        </w:pict>
      </w:r>
    </w:p>
    <w:p w:rsidR="006C4463" w:rsidRPr="00EE6399" w:rsidRDefault="006C4463">
      <w:pPr>
        <w:spacing w:line="348" w:lineRule="exact"/>
        <w:rPr>
          <w:rFonts w:ascii="Times New Roman" w:eastAsia="Times New Roman" w:hAnsi="Times New Roman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6C4463" w:rsidRPr="00EE6399" w:rsidRDefault="006C4463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  <w:proofErr w:type="spellStart"/>
      <w:r w:rsidRPr="00EE6399">
        <w:rPr>
          <w:sz w:val="22"/>
        </w:rPr>
        <w:t>Disiapkan</w:t>
      </w:r>
      <w:proofErr w:type="spellEnd"/>
      <w:r w:rsidRPr="00EE6399">
        <w:rPr>
          <w:sz w:val="22"/>
        </w:rPr>
        <w:t xml:space="preserve"> </w:t>
      </w:r>
      <w:proofErr w:type="spellStart"/>
      <w:proofErr w:type="gramStart"/>
      <w:r w:rsidRPr="00EE6399">
        <w:rPr>
          <w:sz w:val="22"/>
        </w:rPr>
        <w:t>Oleh</w:t>
      </w:r>
      <w:proofErr w:type="spellEnd"/>
      <w:r w:rsidRPr="00EE6399">
        <w:rPr>
          <w:sz w:val="22"/>
        </w:rPr>
        <w:t xml:space="preserve"> :</w:t>
      </w:r>
      <w:proofErr w:type="gramEnd"/>
      <w:r w:rsidRPr="00EE6399">
        <w:rPr>
          <w:rFonts w:ascii="Times New Roman" w:eastAsia="Times New Roman" w:hAnsi="Times New Roman"/>
        </w:rPr>
        <w:tab/>
      </w:r>
      <w:proofErr w:type="spellStart"/>
      <w:r w:rsidRPr="00EE6399">
        <w:rPr>
          <w:sz w:val="22"/>
        </w:rPr>
        <w:t>Diperiksa</w:t>
      </w:r>
      <w:proofErr w:type="spellEnd"/>
      <w:r w:rsidRPr="00EE6399">
        <w:rPr>
          <w:sz w:val="22"/>
        </w:rPr>
        <w:t xml:space="preserve"> </w:t>
      </w:r>
      <w:proofErr w:type="spellStart"/>
      <w:r w:rsidRPr="00EE6399">
        <w:rPr>
          <w:sz w:val="22"/>
        </w:rPr>
        <w:t>oleh</w:t>
      </w:r>
      <w:proofErr w:type="spellEnd"/>
      <w:r w:rsidRPr="00EE6399">
        <w:rPr>
          <w:sz w:val="22"/>
        </w:rPr>
        <w:t xml:space="preserve"> :</w:t>
      </w:r>
      <w:r w:rsidRPr="00EE6399">
        <w:rPr>
          <w:rFonts w:ascii="Times New Roman" w:eastAsia="Times New Roman" w:hAnsi="Times New Roman"/>
        </w:rPr>
        <w:tab/>
      </w:r>
      <w:proofErr w:type="spellStart"/>
      <w:r w:rsidRPr="00EE6399">
        <w:rPr>
          <w:sz w:val="22"/>
        </w:rPr>
        <w:t>Disahkan</w:t>
      </w:r>
      <w:proofErr w:type="spellEnd"/>
      <w:r w:rsidRPr="00EE6399">
        <w:rPr>
          <w:sz w:val="22"/>
        </w:rPr>
        <w:t xml:space="preserve"> </w:t>
      </w:r>
      <w:proofErr w:type="spellStart"/>
      <w:r w:rsidRPr="00EE6399">
        <w:rPr>
          <w:sz w:val="22"/>
        </w:rPr>
        <w:t>Oleh</w:t>
      </w:r>
      <w:proofErr w:type="spellEnd"/>
      <w:r w:rsidRPr="00EE6399">
        <w:rPr>
          <w:sz w:val="22"/>
        </w:rPr>
        <w:t xml:space="preserve"> :</w:t>
      </w:r>
    </w:p>
    <w:p w:rsidR="006C4463" w:rsidRPr="00EE6399" w:rsidRDefault="006C4463">
      <w:pPr>
        <w:spacing w:line="1" w:lineRule="exact"/>
        <w:rPr>
          <w:rFonts w:ascii="Times New Roman" w:eastAsia="Times New Roman" w:hAnsi="Times New Roman"/>
        </w:rPr>
      </w:pPr>
    </w:p>
    <w:p w:rsidR="006C4463" w:rsidRPr="00EE6399" w:rsidRDefault="002B4DD8">
      <w:pPr>
        <w:tabs>
          <w:tab w:val="left" w:pos="3700"/>
          <w:tab w:val="left" w:pos="7020"/>
        </w:tabs>
        <w:spacing w:line="0" w:lineRule="atLeast"/>
        <w:ind w:left="1000"/>
        <w:rPr>
          <w:sz w:val="22"/>
          <w:lang w:val="id-ID"/>
        </w:rPr>
      </w:pPr>
      <w:r w:rsidRPr="00EE6399">
        <w:rPr>
          <w:sz w:val="22"/>
          <w:lang w:val="id-ID"/>
        </w:rPr>
        <w:t xml:space="preserve">    </w:t>
      </w:r>
      <w:r w:rsidR="00EE6399">
        <w:rPr>
          <w:sz w:val="22"/>
        </w:rPr>
        <w:t xml:space="preserve">Unit </w:t>
      </w:r>
      <w:proofErr w:type="spellStart"/>
      <w:r w:rsidR="00EE6399">
        <w:rPr>
          <w:sz w:val="22"/>
        </w:rPr>
        <w:t>kerjasama</w:t>
      </w:r>
      <w:proofErr w:type="spellEnd"/>
      <w:r w:rsidR="006C4463" w:rsidRPr="00EE6399">
        <w:rPr>
          <w:rFonts w:ascii="Times New Roman" w:eastAsia="Times New Roman" w:hAnsi="Times New Roman"/>
        </w:rPr>
        <w:tab/>
      </w:r>
      <w:proofErr w:type="spellStart"/>
      <w:proofErr w:type="gramStart"/>
      <w:r w:rsidR="00EE6399">
        <w:rPr>
          <w:sz w:val="22"/>
        </w:rPr>
        <w:t>Pusat</w:t>
      </w:r>
      <w:proofErr w:type="spellEnd"/>
      <w:r w:rsidR="00EE6399">
        <w:rPr>
          <w:sz w:val="22"/>
        </w:rPr>
        <w:t xml:space="preserve"> </w:t>
      </w:r>
      <w:r w:rsidR="006C4463" w:rsidRPr="00EE6399">
        <w:rPr>
          <w:sz w:val="22"/>
        </w:rPr>
        <w:t xml:space="preserve"> </w:t>
      </w:r>
      <w:proofErr w:type="spellStart"/>
      <w:r w:rsidR="006C4463" w:rsidRPr="00EE6399">
        <w:rPr>
          <w:sz w:val="22"/>
        </w:rPr>
        <w:t>Penjaminan</w:t>
      </w:r>
      <w:proofErr w:type="spellEnd"/>
      <w:proofErr w:type="gramEnd"/>
      <w:r w:rsidR="006C4463" w:rsidRPr="00EE6399">
        <w:rPr>
          <w:sz w:val="22"/>
        </w:rPr>
        <w:t xml:space="preserve"> </w:t>
      </w:r>
      <w:proofErr w:type="spellStart"/>
      <w:r w:rsidR="006C4463" w:rsidRPr="00EE6399">
        <w:rPr>
          <w:sz w:val="22"/>
        </w:rPr>
        <w:t>Mutu</w:t>
      </w:r>
      <w:proofErr w:type="spellEnd"/>
      <w:r w:rsidR="006C4463" w:rsidRPr="00EE6399">
        <w:rPr>
          <w:rFonts w:ascii="Times New Roman" w:eastAsia="Times New Roman" w:hAnsi="Times New Roman"/>
        </w:rPr>
        <w:tab/>
      </w:r>
      <w:r w:rsidRPr="00EE6399">
        <w:rPr>
          <w:rFonts w:ascii="Times New Roman" w:eastAsia="Times New Roman" w:hAnsi="Times New Roman"/>
          <w:lang w:val="id-ID"/>
        </w:rPr>
        <w:t xml:space="preserve">       </w:t>
      </w:r>
      <w:proofErr w:type="spellStart"/>
      <w:r w:rsidR="006C4463" w:rsidRPr="00EE6399">
        <w:rPr>
          <w:sz w:val="22"/>
        </w:rPr>
        <w:t>Ketua</w:t>
      </w:r>
      <w:proofErr w:type="spellEnd"/>
      <w:r w:rsidR="006C4463" w:rsidRPr="00EE6399">
        <w:rPr>
          <w:sz w:val="22"/>
        </w:rPr>
        <w:t xml:space="preserve"> </w:t>
      </w:r>
      <w:r w:rsidRPr="00EE6399">
        <w:rPr>
          <w:sz w:val="22"/>
        </w:rPr>
        <w:t xml:space="preserve">STIAP </w:t>
      </w: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4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0" w:lineRule="atLeast"/>
        <w:ind w:left="6680"/>
        <w:rPr>
          <w:sz w:val="22"/>
          <w:u w:val="single"/>
        </w:rPr>
      </w:pPr>
      <w:r w:rsidRPr="00EE6399">
        <w:rPr>
          <w:sz w:val="22"/>
          <w:u w:val="single"/>
        </w:rPr>
        <w:t>..............................................</w:t>
      </w:r>
    </w:p>
    <w:p w:rsidR="006C4463" w:rsidRPr="00EE6399" w:rsidRDefault="006C4463">
      <w:pPr>
        <w:tabs>
          <w:tab w:val="left" w:pos="3500"/>
        </w:tabs>
        <w:spacing w:line="0" w:lineRule="atLeast"/>
        <w:ind w:left="620"/>
        <w:rPr>
          <w:sz w:val="22"/>
          <w:u w:val="single"/>
        </w:rPr>
      </w:pPr>
      <w:r w:rsidRPr="00EE6399">
        <w:rPr>
          <w:sz w:val="22"/>
          <w:u w:val="single"/>
        </w:rPr>
        <w:t>...............................................</w:t>
      </w:r>
      <w:r w:rsidRPr="00EE6399">
        <w:rPr>
          <w:sz w:val="22"/>
          <w:u w:val="single"/>
        </w:rPr>
        <w:tab/>
        <w:t>...................................................</w:t>
      </w:r>
    </w:p>
    <w:p w:rsidR="006C4463" w:rsidRPr="00EE6399" w:rsidRDefault="006C4463">
      <w:pPr>
        <w:tabs>
          <w:tab w:val="left" w:pos="3500"/>
        </w:tabs>
        <w:spacing w:line="0" w:lineRule="atLeast"/>
        <w:ind w:left="620"/>
        <w:rPr>
          <w:sz w:val="22"/>
          <w:u w:val="single"/>
        </w:rPr>
        <w:sectPr w:rsidR="006C4463" w:rsidRPr="00EE6399">
          <w:type w:val="continuous"/>
          <w:pgSz w:w="11900" w:h="16838"/>
          <w:pgMar w:top="707" w:right="1426" w:bottom="159" w:left="1020" w:header="0" w:footer="0" w:gutter="0"/>
          <w:cols w:space="0" w:equalWidth="0">
            <w:col w:w="9460"/>
          </w:cols>
          <w:docGrid w:linePitch="360"/>
        </w:sect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308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0" w:lineRule="atLeast"/>
        <w:rPr>
          <w:rFonts w:ascii="Microsoft Sans Serif" w:eastAsia="Microsoft Sans Serif" w:hAnsi="Microsoft Sans Serif"/>
          <w:sz w:val="12"/>
        </w:rPr>
      </w:pPr>
      <w:proofErr w:type="spellStart"/>
      <w:r w:rsidRPr="00EE6399">
        <w:rPr>
          <w:rFonts w:ascii="Microsoft Sans Serif" w:eastAsia="Microsoft Sans Serif" w:hAnsi="Microsoft Sans Serif"/>
          <w:sz w:val="12"/>
        </w:rPr>
        <w:t>Diterbitkan</w:t>
      </w:r>
      <w:proofErr w:type="spellEnd"/>
      <w:r w:rsidRPr="00EE6399">
        <w:rPr>
          <w:rFonts w:ascii="Microsoft Sans Serif" w:eastAsia="Microsoft Sans Serif" w:hAnsi="Microsoft Sans Serif"/>
          <w:sz w:val="12"/>
        </w:rPr>
        <w:t xml:space="preserve"> </w:t>
      </w:r>
      <w:proofErr w:type="spellStart"/>
      <w:r w:rsidRPr="00EE6399">
        <w:rPr>
          <w:rFonts w:ascii="Microsoft Sans Serif" w:eastAsia="Microsoft Sans Serif" w:hAnsi="Microsoft Sans Serif"/>
          <w:sz w:val="12"/>
        </w:rPr>
        <w:t>oleh</w:t>
      </w:r>
      <w:proofErr w:type="spellEnd"/>
      <w:r w:rsidRPr="00EE6399">
        <w:rPr>
          <w:rFonts w:ascii="Microsoft Sans Serif" w:eastAsia="Microsoft Sans Serif" w:hAnsi="Microsoft Sans Serif"/>
          <w:sz w:val="12"/>
        </w:rPr>
        <w:t>:</w:t>
      </w:r>
    </w:p>
    <w:p w:rsidR="006C4463" w:rsidRPr="00EE6399" w:rsidRDefault="006C4463">
      <w:pPr>
        <w:spacing w:line="20" w:lineRule="exact"/>
        <w:rPr>
          <w:rFonts w:ascii="Times New Roman" w:eastAsia="Times New Roman" w:hAnsi="Times New Roman"/>
        </w:rPr>
      </w:pPr>
      <w:r w:rsidRPr="00EE6399">
        <w:rPr>
          <w:rFonts w:ascii="Microsoft Sans Serif" w:eastAsia="Microsoft Sans Serif" w:hAnsi="Microsoft Sans Serif"/>
          <w:sz w:val="12"/>
        </w:rPr>
        <w:pict>
          <v:line id="_x0000_s1040" style="position:absolute;z-index:-251657728" from="148.9pt,-6.2pt" to="148.9pt,27.05pt" o:userdrawn="t" strokeweight=".72pt"/>
        </w:pict>
      </w:r>
    </w:p>
    <w:p w:rsidR="006C4463" w:rsidRPr="00EE6399" w:rsidRDefault="006C4463">
      <w:pPr>
        <w:spacing w:line="0" w:lineRule="atLeast"/>
        <w:rPr>
          <w:rFonts w:ascii="Microsoft Sans Serif" w:eastAsia="Microsoft Sans Serif" w:hAnsi="Microsoft Sans Serif"/>
          <w:sz w:val="12"/>
        </w:rPr>
      </w:pPr>
      <w:proofErr w:type="spellStart"/>
      <w:r w:rsidRPr="00EE6399">
        <w:rPr>
          <w:rFonts w:ascii="Microsoft Sans Serif" w:eastAsia="Microsoft Sans Serif" w:hAnsi="Microsoft Sans Serif"/>
          <w:sz w:val="12"/>
        </w:rPr>
        <w:t>Lembaga</w:t>
      </w:r>
      <w:proofErr w:type="spellEnd"/>
      <w:r w:rsidRPr="00EE6399">
        <w:rPr>
          <w:rFonts w:ascii="Microsoft Sans Serif" w:eastAsia="Microsoft Sans Serif" w:hAnsi="Microsoft Sans Serif"/>
          <w:sz w:val="12"/>
        </w:rPr>
        <w:t xml:space="preserve"> </w:t>
      </w:r>
      <w:proofErr w:type="spellStart"/>
      <w:r w:rsidRPr="00EE6399">
        <w:rPr>
          <w:rFonts w:ascii="Microsoft Sans Serif" w:eastAsia="Microsoft Sans Serif" w:hAnsi="Microsoft Sans Serif"/>
          <w:sz w:val="12"/>
        </w:rPr>
        <w:t>Penelitian</w:t>
      </w:r>
      <w:proofErr w:type="spellEnd"/>
      <w:r w:rsidRPr="00EE6399">
        <w:rPr>
          <w:rFonts w:ascii="Microsoft Sans Serif" w:eastAsia="Microsoft Sans Serif" w:hAnsi="Microsoft Sans Serif"/>
          <w:sz w:val="12"/>
        </w:rPr>
        <w:t xml:space="preserve"> </w:t>
      </w:r>
      <w:proofErr w:type="spellStart"/>
      <w:r w:rsidRPr="00EE6399">
        <w:rPr>
          <w:rFonts w:ascii="Microsoft Sans Serif" w:eastAsia="Microsoft Sans Serif" w:hAnsi="Microsoft Sans Serif"/>
          <w:sz w:val="12"/>
        </w:rPr>
        <w:t>dan</w:t>
      </w:r>
      <w:proofErr w:type="spellEnd"/>
      <w:r w:rsidRPr="00EE6399">
        <w:rPr>
          <w:rFonts w:ascii="Microsoft Sans Serif" w:eastAsia="Microsoft Sans Serif" w:hAnsi="Microsoft Sans Serif"/>
          <w:sz w:val="12"/>
        </w:rPr>
        <w:t xml:space="preserve"> </w:t>
      </w:r>
      <w:proofErr w:type="spellStart"/>
      <w:r w:rsidRPr="00EE6399">
        <w:rPr>
          <w:rFonts w:ascii="Microsoft Sans Serif" w:eastAsia="Microsoft Sans Serif" w:hAnsi="Microsoft Sans Serif"/>
          <w:sz w:val="12"/>
        </w:rPr>
        <w:t>Pengabdian</w:t>
      </w:r>
      <w:proofErr w:type="spellEnd"/>
      <w:r w:rsidRPr="00EE6399">
        <w:rPr>
          <w:rFonts w:ascii="Microsoft Sans Serif" w:eastAsia="Microsoft Sans Serif" w:hAnsi="Microsoft Sans Serif"/>
          <w:sz w:val="12"/>
        </w:rPr>
        <w:t xml:space="preserve"> </w:t>
      </w:r>
      <w:proofErr w:type="spellStart"/>
      <w:r w:rsidRPr="00EE6399">
        <w:rPr>
          <w:rFonts w:ascii="Microsoft Sans Serif" w:eastAsia="Microsoft Sans Serif" w:hAnsi="Microsoft Sans Serif"/>
          <w:sz w:val="12"/>
        </w:rPr>
        <w:t>Masyarakat</w:t>
      </w:r>
      <w:proofErr w:type="spellEnd"/>
    </w:p>
    <w:p w:rsidR="006C4463" w:rsidRPr="00EE6399" w:rsidRDefault="000109E3">
      <w:pPr>
        <w:spacing w:line="0" w:lineRule="atLeast"/>
        <w:rPr>
          <w:rFonts w:ascii="Microsoft Sans Serif" w:eastAsia="Microsoft Sans Serif" w:hAnsi="Microsoft Sans Serif"/>
          <w:sz w:val="12"/>
        </w:rPr>
      </w:pPr>
      <w:r w:rsidRPr="00EE6399">
        <w:rPr>
          <w:rFonts w:ascii="Microsoft Sans Serif" w:eastAsia="Microsoft Sans Serif" w:hAnsi="Microsoft Sans Serif"/>
          <w:sz w:val="12"/>
        </w:rPr>
        <w:t>STIAP ANNISA DWI SALFARIZI</w:t>
      </w: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  <w:r w:rsidRPr="00EE6399">
        <w:rPr>
          <w:rFonts w:ascii="Microsoft Sans Serif" w:eastAsia="Microsoft Sans Serif" w:hAnsi="Microsoft Sans Serif"/>
          <w:sz w:val="12"/>
        </w:rPr>
        <w:br w:type="column"/>
      </w: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1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0" w:lineRule="atLeast"/>
        <w:rPr>
          <w:sz w:val="21"/>
        </w:rPr>
      </w:pPr>
      <w:r w:rsidRPr="00EE6399">
        <w:rPr>
          <w:sz w:val="21"/>
        </w:rPr>
        <w:t>Hal | 3</w:t>
      </w:r>
    </w:p>
    <w:sectPr w:rsidR="006C4463" w:rsidRPr="00EE6399">
      <w:type w:val="continuous"/>
      <w:pgSz w:w="11900" w:h="16838"/>
      <w:pgMar w:top="707" w:right="1426" w:bottom="159" w:left="1020" w:header="0" w:footer="0" w:gutter="0"/>
      <w:cols w:num="2" w:space="0" w:equalWidth="0">
        <w:col w:w="8120" w:space="720"/>
        <w:col w:w="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1"/>
      <w:numFmt w:val="bullet"/>
      <w:lvlText w:val=":"/>
      <w:lvlJc w:val="left"/>
    </w:lvl>
    <w:lvl w:ilvl="1">
      <w:start w:val="1"/>
      <w:numFmt w:val="bullet"/>
      <w:lvlText w:val="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4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7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4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7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222C3C74"/>
    <w:multiLevelType w:val="hybridMultilevel"/>
    <w:tmpl w:val="7F30F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59DD"/>
    <w:multiLevelType w:val="multilevel"/>
    <w:tmpl w:val="88BAD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>
    <w:nsid w:val="62052EFB"/>
    <w:multiLevelType w:val="multilevel"/>
    <w:tmpl w:val="93BE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3"/>
    <w:rsid w:val="000109E3"/>
    <w:rsid w:val="002B4DD8"/>
    <w:rsid w:val="006C4463"/>
    <w:rsid w:val="009C6D57"/>
    <w:rsid w:val="00EC55A0"/>
    <w:rsid w:val="00EE6399"/>
    <w:rsid w:val="00F1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  <o:r id="V:Rule7" type="connector" idref="#_x0000_s1066"/>
        <o:r id="V:Rule8" type="connector" idref="#_x0000_s1065"/>
        <o:r id="V:Rule9" type="connector" idref="#_x0000_s1077"/>
        <o:r id="V:Rule10" type="connector" idref="#_x0000_s1072"/>
        <o:r id="V:Rule11" type="connector" idref="#_x0000_s1067"/>
        <o:r id="V:Rule12" type="connector" idref="#_x0000_s1071"/>
        <o:r id="V:Rule13" type="connector" idref="#_x0000_s1076"/>
        <o:r id="V:Rule14" type="connector" idref="#_x0000_s1069"/>
        <o:r id="V:Rule15" type="connector" idref="#_x0000_s1068"/>
        <o:r id="V:Rule16" type="connector" idref="#_x0000_s1070"/>
        <o:r id="V:Rule17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3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kupintar.id/documents/20143/0/Sekolah_Tinggi_Ilmu_Administrasi_dan_Pemerintahan_Annisa_Dwi_Salfarizi.png/b025e2bd-c2a0-81d8-9ba7-d996c86d7d45?version=1.0&amp;t=1537940283170&amp;imageThumbnail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Links>
    <vt:vector size="18" baseType="variant">
      <vt:variant>
        <vt:i4>655424</vt:i4>
      </vt:variant>
      <vt:variant>
        <vt:i4>-1</vt:i4>
      </vt:variant>
      <vt:variant>
        <vt:i4>1041</vt:i4>
      </vt:variant>
      <vt:variant>
        <vt:i4>1</vt:i4>
      </vt:variant>
      <vt:variant>
        <vt:lpwstr>https://akupintar.id/documents/20143/0/Sekolah_Tinggi_Ilmu_Administrasi_dan_Pemerintahan_Annisa_Dwi_Salfarizi.png/b025e2bd-c2a0-81d8-9ba7-d996c86d7d45?version=1.0&amp;t=1537940283170&amp;imageThumbnail=1</vt:lpwstr>
      </vt:variant>
      <vt:variant>
        <vt:lpwstr/>
      </vt:variant>
      <vt:variant>
        <vt:i4>655424</vt:i4>
      </vt:variant>
      <vt:variant>
        <vt:i4>-1</vt:i4>
      </vt:variant>
      <vt:variant>
        <vt:i4>1044</vt:i4>
      </vt:variant>
      <vt:variant>
        <vt:i4>1</vt:i4>
      </vt:variant>
      <vt:variant>
        <vt:lpwstr>https://akupintar.id/documents/20143/0/Sekolah_Tinggi_Ilmu_Administrasi_dan_Pemerintahan_Annisa_Dwi_Salfarizi.png/b025e2bd-c2a0-81d8-9ba7-d996c86d7d45?version=1.0&amp;t=1537940283170&amp;imageThumbnail=1</vt:lpwstr>
      </vt:variant>
      <vt:variant>
        <vt:lpwstr/>
      </vt:variant>
      <vt:variant>
        <vt:i4>655424</vt:i4>
      </vt:variant>
      <vt:variant>
        <vt:i4>-1</vt:i4>
      </vt:variant>
      <vt:variant>
        <vt:i4>1047</vt:i4>
      </vt:variant>
      <vt:variant>
        <vt:i4>1</vt:i4>
      </vt:variant>
      <vt:variant>
        <vt:lpwstr>https://akupintar.id/documents/20143/0/Sekolah_Tinggi_Ilmu_Administrasi_dan_Pemerintahan_Annisa_Dwi_Salfarizi.png/b025e2bd-c2a0-81d8-9ba7-d996c86d7d45?version=1.0&amp;t=1537940283170&amp;imageThumbnail=1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 R Rianto</dc:creator>
  <cp:lastModifiedBy>dedi</cp:lastModifiedBy>
  <cp:revision>3</cp:revision>
  <dcterms:created xsi:type="dcterms:W3CDTF">2021-01-28T10:00:00Z</dcterms:created>
  <dcterms:modified xsi:type="dcterms:W3CDTF">2021-01-28T10:01:00Z</dcterms:modified>
</cp:coreProperties>
</file>